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156E5" w:rsidRPr="002C102F" w:rsidTr="005A2B89">
        <w:trPr>
          <w:trHeight w:val="1843"/>
        </w:trPr>
        <w:tc>
          <w:tcPr>
            <w:tcW w:w="2401" w:type="dxa"/>
          </w:tcPr>
          <w:p w:rsidR="000156E5" w:rsidRPr="002C102F" w:rsidRDefault="000156E5" w:rsidP="005A2B89">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156E5" w:rsidRPr="002C102F" w:rsidRDefault="00995D3C" w:rsidP="005A2B89">
            <w:pPr>
              <w:spacing w:after="0"/>
              <w:jc w:val="center"/>
              <w:rPr>
                <w:rFonts w:cs="Arial"/>
                <w:b/>
                <w:color w:val="000090"/>
                <w:sz w:val="28"/>
                <w:szCs w:val="28"/>
              </w:rPr>
            </w:pPr>
            <w:r w:rsidRPr="00995D3C">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5A2B89">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5A2B89">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5A2B89">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5A2B89">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 xml:space="preserve">RISK  &amp; </w:t>
            </w:r>
            <w:r w:rsidR="000A3660">
              <w:rPr>
                <w:rFonts w:cs="Arial"/>
                <w:b/>
                <w:bCs/>
                <w:caps/>
                <w:color w:val="000090"/>
                <w:sz w:val="16"/>
              </w:rPr>
              <w:t>Regulatory</w:t>
            </w:r>
          </w:p>
        </w:tc>
      </w:tr>
      <w:bookmarkEnd w:id="0"/>
    </w:tbl>
    <w:p w:rsidR="000A3660" w:rsidRDefault="000A3660" w:rsidP="000A3660">
      <w:pPr>
        <w:rPr>
          <w:bCs/>
          <w:color w:val="000000"/>
        </w:rPr>
      </w:pPr>
    </w:p>
    <w:p w:rsidR="00B161A2" w:rsidRPr="00B161A2" w:rsidRDefault="00B161A2" w:rsidP="00B161A2">
      <w:pPr>
        <w:rPr>
          <w:b/>
        </w:rPr>
      </w:pPr>
      <w:r w:rsidRPr="00B161A2">
        <w:rPr>
          <w:b/>
        </w:rPr>
        <w:t xml:space="preserve">Gifts and Entertainment Sample Policy  </w:t>
      </w:r>
    </w:p>
    <w:p w:rsidR="00B161A2" w:rsidRDefault="006B7BFC" w:rsidP="006B144B">
      <w:pPr>
        <w:spacing w:line="240" w:lineRule="auto"/>
        <w:rPr>
          <w:sz w:val="20"/>
          <w:szCs w:val="20"/>
        </w:rPr>
      </w:pPr>
      <w:r>
        <w:rPr>
          <w:sz w:val="20"/>
          <w:szCs w:val="20"/>
        </w:rPr>
        <w:t>Advantage Profe</w:t>
      </w:r>
      <w:r w:rsidR="007624CF">
        <w:rPr>
          <w:sz w:val="20"/>
          <w:szCs w:val="20"/>
        </w:rPr>
        <w:t>ssional has developed an example</w:t>
      </w:r>
      <w:r>
        <w:rPr>
          <w:sz w:val="20"/>
          <w:szCs w:val="20"/>
        </w:rPr>
        <w:t xml:space="preserve"> gifts and entertainment policy to help employees make the right decisions when providing or accepting gifts, entertainment or travel while conducting business on behalf of their employer.  This sample policy also addresses your </w:t>
      </w:r>
      <w:r w:rsidR="006B144B">
        <w:rPr>
          <w:sz w:val="20"/>
          <w:szCs w:val="20"/>
        </w:rPr>
        <w:t>commitment</w:t>
      </w:r>
      <w:r>
        <w:rPr>
          <w:sz w:val="20"/>
          <w:szCs w:val="20"/>
        </w:rPr>
        <w:t xml:space="preserve"> to undertake business fairly with honesty and transparency. It aims to set the spirit of what is allowable and cannot cover all possibilities but relies on a common-sense and practical approach to be adopted in the interpretation of this Policy. </w:t>
      </w:r>
    </w:p>
    <w:p w:rsidR="006B7BFC" w:rsidRDefault="006B7BFC" w:rsidP="006B144B">
      <w:pPr>
        <w:spacing w:line="240" w:lineRule="auto"/>
        <w:rPr>
          <w:sz w:val="20"/>
          <w:szCs w:val="20"/>
        </w:rPr>
      </w:pPr>
      <w:r>
        <w:rPr>
          <w:sz w:val="20"/>
          <w:szCs w:val="20"/>
        </w:rPr>
        <w:t>As a guideline when following this Policy always consider: "Would I be comfortable accepting the courtesy if it came to the attention of my executives and shareholders or the general public."</w:t>
      </w:r>
    </w:p>
    <w:p w:rsidR="006B144B" w:rsidRDefault="006B144B" w:rsidP="006B144B">
      <w:pPr>
        <w:spacing w:line="240" w:lineRule="auto"/>
        <w:rPr>
          <w:sz w:val="20"/>
          <w:szCs w:val="20"/>
        </w:rPr>
      </w:pPr>
      <w:r w:rsidRPr="007624CF">
        <w:rPr>
          <w:b/>
          <w:sz w:val="20"/>
          <w:szCs w:val="20"/>
        </w:rPr>
        <w:t>Directions:</w:t>
      </w:r>
      <w:r>
        <w:rPr>
          <w:sz w:val="20"/>
          <w:szCs w:val="20"/>
        </w:rPr>
        <w:t xml:space="preserve"> This policy should be included in your hiring package and reviewed as part of each annual performance evaluation to ensure all employees and management understand the parameters. This policy should be signed by each employee. </w:t>
      </w:r>
      <w:r w:rsidR="00A43DC6">
        <w:rPr>
          <w:sz w:val="20"/>
          <w:szCs w:val="20"/>
        </w:rPr>
        <w:t>This policy should be reviewed annually by management to reflect changes in business practices.</w:t>
      </w:r>
    </w:p>
    <w:p w:rsidR="00A43DC6" w:rsidRDefault="00A43DC6" w:rsidP="00B161A2">
      <w:pPr>
        <w:rPr>
          <w:b/>
          <w:sz w:val="20"/>
          <w:szCs w:val="20"/>
        </w:rPr>
      </w:pPr>
      <w:r>
        <w:rPr>
          <w:b/>
          <w:sz w:val="20"/>
          <w:szCs w:val="20"/>
        </w:rPr>
        <w:t>_____________________________________________________________________________________________</w:t>
      </w:r>
    </w:p>
    <w:p w:rsidR="00A43DC6" w:rsidRDefault="00A43DC6" w:rsidP="00A43DC6">
      <w:pPr>
        <w:spacing w:after="0"/>
        <w:rPr>
          <w:b/>
          <w:sz w:val="20"/>
          <w:szCs w:val="20"/>
        </w:rPr>
      </w:pPr>
      <w:r>
        <w:rPr>
          <w:b/>
          <w:sz w:val="20"/>
          <w:szCs w:val="20"/>
        </w:rPr>
        <w:t>National Rental Inc.</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March 31, 2016</w:t>
      </w:r>
    </w:p>
    <w:p w:rsidR="00A43DC6" w:rsidRDefault="00A43DC6" w:rsidP="00A43DC6">
      <w:pPr>
        <w:spacing w:after="0"/>
        <w:rPr>
          <w:b/>
          <w:sz w:val="20"/>
          <w:szCs w:val="20"/>
        </w:rPr>
      </w:pPr>
      <w:r>
        <w:rPr>
          <w:b/>
          <w:sz w:val="20"/>
          <w:szCs w:val="20"/>
        </w:rPr>
        <w:t>Corporate Policy No:  CP1-009</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Issue 1</w:t>
      </w:r>
    </w:p>
    <w:p w:rsidR="00A43DC6" w:rsidRDefault="00A43DC6" w:rsidP="00A43DC6">
      <w:pPr>
        <w:spacing w:after="0"/>
        <w:rPr>
          <w:b/>
          <w:sz w:val="20"/>
          <w:szCs w:val="20"/>
        </w:rPr>
      </w:pPr>
      <w:r>
        <w:rPr>
          <w:b/>
          <w:sz w:val="20"/>
          <w:szCs w:val="20"/>
        </w:rPr>
        <w:t xml:space="preserve">Gifts and Entertainment </w:t>
      </w:r>
    </w:p>
    <w:p w:rsidR="00A43DC6" w:rsidRDefault="00A43DC6" w:rsidP="00A43DC6">
      <w:pPr>
        <w:spacing w:after="0"/>
        <w:rPr>
          <w:b/>
          <w:sz w:val="20"/>
          <w:szCs w:val="20"/>
        </w:rPr>
      </w:pPr>
    </w:p>
    <w:p w:rsidR="00A43DC6" w:rsidRDefault="00A43DC6" w:rsidP="00B161A2">
      <w:pPr>
        <w:rPr>
          <w:b/>
          <w:sz w:val="20"/>
          <w:szCs w:val="20"/>
        </w:rPr>
      </w:pPr>
    </w:p>
    <w:p w:rsidR="00B02C35" w:rsidRPr="006B144B" w:rsidRDefault="00B02C35" w:rsidP="00B161A2">
      <w:pPr>
        <w:rPr>
          <w:b/>
          <w:sz w:val="20"/>
          <w:szCs w:val="20"/>
        </w:rPr>
      </w:pPr>
      <w:r w:rsidRPr="006B144B">
        <w:rPr>
          <w:b/>
          <w:sz w:val="20"/>
          <w:szCs w:val="20"/>
        </w:rPr>
        <w:t>General Business Courtesies:</w:t>
      </w:r>
    </w:p>
    <w:p w:rsidR="00B161A2" w:rsidRPr="006B144B" w:rsidRDefault="006B7BFC" w:rsidP="006B144B">
      <w:pPr>
        <w:pStyle w:val="ListParagraph"/>
        <w:numPr>
          <w:ilvl w:val="0"/>
          <w:numId w:val="7"/>
        </w:numPr>
        <w:spacing w:line="240" w:lineRule="auto"/>
        <w:rPr>
          <w:sz w:val="20"/>
          <w:szCs w:val="20"/>
        </w:rPr>
      </w:pPr>
      <w:r w:rsidRPr="006B144B">
        <w:rPr>
          <w:sz w:val="20"/>
          <w:szCs w:val="20"/>
        </w:rPr>
        <w:t>Gifts are occasional and do not exceed the value of ______ dollars</w:t>
      </w:r>
    </w:p>
    <w:p w:rsidR="006B7BFC" w:rsidRPr="006B144B" w:rsidRDefault="006B7BFC" w:rsidP="006B144B">
      <w:pPr>
        <w:pStyle w:val="ListParagraph"/>
        <w:numPr>
          <w:ilvl w:val="0"/>
          <w:numId w:val="7"/>
        </w:numPr>
        <w:spacing w:line="240" w:lineRule="auto"/>
        <w:rPr>
          <w:sz w:val="20"/>
          <w:szCs w:val="20"/>
        </w:rPr>
      </w:pPr>
      <w:r w:rsidRPr="006B144B">
        <w:rPr>
          <w:sz w:val="20"/>
          <w:szCs w:val="20"/>
        </w:rPr>
        <w:t>Costs associated with general business courtesies are limited to reasonable expenses (normal mean allowances-not excessive misuse)</w:t>
      </w:r>
    </w:p>
    <w:p w:rsidR="006B7BFC" w:rsidRPr="006B144B" w:rsidRDefault="006B7BFC" w:rsidP="006B144B">
      <w:pPr>
        <w:pStyle w:val="ListParagraph"/>
        <w:numPr>
          <w:ilvl w:val="0"/>
          <w:numId w:val="7"/>
        </w:numPr>
        <w:spacing w:line="240" w:lineRule="auto"/>
        <w:rPr>
          <w:sz w:val="20"/>
          <w:szCs w:val="20"/>
        </w:rPr>
      </w:pPr>
      <w:r w:rsidRPr="006B144B">
        <w:rPr>
          <w:sz w:val="20"/>
          <w:szCs w:val="20"/>
        </w:rPr>
        <w:t>Business partners are present for the duration of the meal/event</w:t>
      </w:r>
    </w:p>
    <w:p w:rsidR="006B7BFC" w:rsidRPr="006B144B" w:rsidRDefault="006B7BFC" w:rsidP="006B144B">
      <w:pPr>
        <w:pStyle w:val="ListParagraph"/>
        <w:numPr>
          <w:ilvl w:val="0"/>
          <w:numId w:val="7"/>
        </w:numPr>
        <w:spacing w:line="240" w:lineRule="auto"/>
        <w:rPr>
          <w:sz w:val="20"/>
          <w:szCs w:val="20"/>
        </w:rPr>
      </w:pPr>
      <w:r w:rsidRPr="006B144B">
        <w:rPr>
          <w:sz w:val="20"/>
          <w:szCs w:val="20"/>
        </w:rPr>
        <w:t xml:space="preserve">Extra caution must be </w:t>
      </w:r>
      <w:r w:rsidR="00B02C35" w:rsidRPr="006B144B">
        <w:rPr>
          <w:sz w:val="20"/>
          <w:szCs w:val="20"/>
        </w:rPr>
        <w:t>exercised</w:t>
      </w:r>
      <w:r w:rsidRPr="006B144B">
        <w:rPr>
          <w:sz w:val="20"/>
          <w:szCs w:val="20"/>
        </w:rPr>
        <w:t xml:space="preserve"> when entertainment is offered by a supplier during a tender process or where it is envisaged a conflict of interest may arise. In these circumstances the entertainment should be politely refused</w:t>
      </w:r>
    </w:p>
    <w:p w:rsidR="006B7BFC" w:rsidRPr="006B144B" w:rsidRDefault="006B7BFC" w:rsidP="006B144B">
      <w:pPr>
        <w:pStyle w:val="ListParagraph"/>
        <w:numPr>
          <w:ilvl w:val="0"/>
          <w:numId w:val="7"/>
        </w:numPr>
        <w:spacing w:line="240" w:lineRule="auto"/>
        <w:rPr>
          <w:sz w:val="20"/>
          <w:szCs w:val="20"/>
        </w:rPr>
      </w:pPr>
      <w:r w:rsidRPr="006B144B">
        <w:rPr>
          <w:sz w:val="20"/>
          <w:szCs w:val="20"/>
        </w:rPr>
        <w:t>Employees offering or accepting the gift/entertainment would be comfortable to discuss the matter with executives or shareholders</w:t>
      </w:r>
    </w:p>
    <w:p w:rsidR="006B7BFC" w:rsidRPr="006B144B" w:rsidRDefault="006B7BFC" w:rsidP="006B144B">
      <w:pPr>
        <w:pStyle w:val="ListParagraph"/>
        <w:numPr>
          <w:ilvl w:val="0"/>
          <w:numId w:val="7"/>
        </w:numPr>
        <w:spacing w:line="240" w:lineRule="auto"/>
        <w:rPr>
          <w:sz w:val="20"/>
          <w:szCs w:val="20"/>
        </w:rPr>
      </w:pPr>
      <w:r w:rsidRPr="006B144B">
        <w:rPr>
          <w:sz w:val="20"/>
          <w:szCs w:val="20"/>
        </w:rPr>
        <w:t xml:space="preserve">Gifts/entertainment offered or accepted is without any expectation of reciprocity </w:t>
      </w:r>
    </w:p>
    <w:p w:rsidR="006B7BFC" w:rsidRPr="006B144B" w:rsidRDefault="006B7BFC" w:rsidP="006B144B">
      <w:pPr>
        <w:pStyle w:val="ListParagraph"/>
        <w:numPr>
          <w:ilvl w:val="0"/>
          <w:numId w:val="7"/>
        </w:numPr>
        <w:spacing w:line="240" w:lineRule="auto"/>
        <w:rPr>
          <w:sz w:val="20"/>
          <w:szCs w:val="20"/>
        </w:rPr>
      </w:pPr>
      <w:r w:rsidRPr="006B144B">
        <w:rPr>
          <w:sz w:val="20"/>
          <w:szCs w:val="20"/>
        </w:rPr>
        <w:t xml:space="preserve">All gifts and entertainment given and received must be recorded in the corporate </w:t>
      </w:r>
      <w:r w:rsidR="00B02C35" w:rsidRPr="006B144B">
        <w:rPr>
          <w:sz w:val="20"/>
          <w:szCs w:val="20"/>
        </w:rPr>
        <w:t>documents, expense reports, including the firms, suppliers, public officials name and titles.</w:t>
      </w:r>
    </w:p>
    <w:p w:rsidR="00B02C35" w:rsidRPr="006B144B" w:rsidRDefault="00B02C35" w:rsidP="006B144B">
      <w:pPr>
        <w:pStyle w:val="ListParagraph"/>
        <w:numPr>
          <w:ilvl w:val="0"/>
          <w:numId w:val="7"/>
        </w:numPr>
        <w:spacing w:line="240" w:lineRule="auto"/>
        <w:rPr>
          <w:sz w:val="20"/>
          <w:szCs w:val="20"/>
        </w:rPr>
      </w:pPr>
      <w:r w:rsidRPr="006B144B">
        <w:rPr>
          <w:sz w:val="20"/>
          <w:szCs w:val="20"/>
        </w:rPr>
        <w:t xml:space="preserve">Gifts or entertainment must not be offered to or accepted from Public Officials, without the prior authorization of senior management. Senior management must have the approval of the Board of Directors before accepting or giving any gifts to a public official. </w:t>
      </w:r>
    </w:p>
    <w:p w:rsidR="00A43DC6" w:rsidRDefault="00A43DC6" w:rsidP="00B161A2">
      <w:pPr>
        <w:rPr>
          <w:b/>
          <w:sz w:val="20"/>
          <w:szCs w:val="20"/>
        </w:rPr>
      </w:pPr>
    </w:p>
    <w:p w:rsidR="00B161A2" w:rsidRPr="006B144B" w:rsidRDefault="006B144B" w:rsidP="00B161A2">
      <w:pPr>
        <w:rPr>
          <w:b/>
          <w:sz w:val="20"/>
          <w:szCs w:val="20"/>
        </w:rPr>
      </w:pPr>
      <w:r>
        <w:rPr>
          <w:b/>
          <w:sz w:val="20"/>
          <w:szCs w:val="20"/>
        </w:rPr>
        <w:t xml:space="preserve"> </w:t>
      </w:r>
      <w:r w:rsidR="00B02C35" w:rsidRPr="006B144B">
        <w:rPr>
          <w:b/>
          <w:sz w:val="20"/>
          <w:szCs w:val="20"/>
        </w:rPr>
        <w:t>Meals &amp; Entertainment</w:t>
      </w:r>
      <w:r w:rsidR="007624CF">
        <w:rPr>
          <w:b/>
          <w:sz w:val="20"/>
          <w:szCs w:val="20"/>
        </w:rPr>
        <w:t>/Travel</w:t>
      </w:r>
      <w:r w:rsidR="00B02C35" w:rsidRPr="006B144B">
        <w:rPr>
          <w:b/>
          <w:sz w:val="20"/>
          <w:szCs w:val="20"/>
        </w:rPr>
        <w:t>:</w:t>
      </w:r>
    </w:p>
    <w:p w:rsidR="00B02C35" w:rsidRPr="006B144B" w:rsidRDefault="00B02C35" w:rsidP="006B144B">
      <w:pPr>
        <w:pStyle w:val="ListParagraph"/>
        <w:numPr>
          <w:ilvl w:val="0"/>
          <w:numId w:val="9"/>
        </w:numPr>
        <w:spacing w:line="240" w:lineRule="auto"/>
        <w:rPr>
          <w:sz w:val="20"/>
          <w:szCs w:val="20"/>
        </w:rPr>
      </w:pPr>
      <w:r w:rsidRPr="006B144B">
        <w:rPr>
          <w:sz w:val="20"/>
          <w:szCs w:val="20"/>
        </w:rPr>
        <w:t>The entertainment must be business related and suitable to the role in the organization</w:t>
      </w:r>
    </w:p>
    <w:p w:rsidR="00B02C35" w:rsidRPr="006B144B" w:rsidRDefault="00B02C35" w:rsidP="006B144B">
      <w:pPr>
        <w:pStyle w:val="ListParagraph"/>
        <w:numPr>
          <w:ilvl w:val="0"/>
          <w:numId w:val="9"/>
        </w:numPr>
        <w:spacing w:line="240" w:lineRule="auto"/>
        <w:rPr>
          <w:sz w:val="20"/>
          <w:szCs w:val="20"/>
        </w:rPr>
      </w:pPr>
      <w:r w:rsidRPr="006B144B">
        <w:rPr>
          <w:sz w:val="20"/>
          <w:szCs w:val="20"/>
        </w:rPr>
        <w:t>The business partner must be present throughout the duration</w:t>
      </w:r>
    </w:p>
    <w:p w:rsidR="00B02C35" w:rsidRPr="006B144B" w:rsidRDefault="00B02C35" w:rsidP="006B144B">
      <w:pPr>
        <w:pStyle w:val="ListParagraph"/>
        <w:numPr>
          <w:ilvl w:val="0"/>
          <w:numId w:val="9"/>
        </w:numPr>
        <w:spacing w:line="240" w:lineRule="auto"/>
        <w:rPr>
          <w:sz w:val="20"/>
          <w:szCs w:val="20"/>
        </w:rPr>
      </w:pPr>
      <w:r w:rsidRPr="006B144B">
        <w:rPr>
          <w:sz w:val="20"/>
          <w:szCs w:val="20"/>
        </w:rPr>
        <w:t>Our corporate independence must not be compromised</w:t>
      </w:r>
    </w:p>
    <w:p w:rsidR="00B02C35" w:rsidRPr="006B144B" w:rsidRDefault="00B02C35" w:rsidP="006B144B">
      <w:pPr>
        <w:pStyle w:val="ListParagraph"/>
        <w:numPr>
          <w:ilvl w:val="0"/>
          <w:numId w:val="9"/>
        </w:numPr>
        <w:spacing w:line="240" w:lineRule="auto"/>
        <w:rPr>
          <w:sz w:val="20"/>
          <w:szCs w:val="20"/>
        </w:rPr>
      </w:pPr>
      <w:r w:rsidRPr="006B144B">
        <w:rPr>
          <w:sz w:val="20"/>
          <w:szCs w:val="20"/>
        </w:rPr>
        <w:t>You  must record all entertainment (both given and received) for review by our auditors if required</w:t>
      </w:r>
    </w:p>
    <w:p w:rsidR="00B02C35" w:rsidRPr="006B144B" w:rsidRDefault="00B02C35" w:rsidP="006B144B">
      <w:pPr>
        <w:pStyle w:val="ListParagraph"/>
        <w:numPr>
          <w:ilvl w:val="0"/>
          <w:numId w:val="9"/>
        </w:numPr>
        <w:spacing w:line="240" w:lineRule="auto"/>
        <w:rPr>
          <w:sz w:val="20"/>
          <w:szCs w:val="20"/>
        </w:rPr>
      </w:pPr>
      <w:r w:rsidRPr="006B144B">
        <w:rPr>
          <w:sz w:val="20"/>
          <w:szCs w:val="20"/>
        </w:rPr>
        <w:t>Any social gathering or interaction must be conducted in locations/establishments generally recognized as appropriate for the conduct of business</w:t>
      </w:r>
    </w:p>
    <w:p w:rsidR="00B02C35" w:rsidRDefault="00B02C35" w:rsidP="006B144B">
      <w:pPr>
        <w:pStyle w:val="ListParagraph"/>
        <w:numPr>
          <w:ilvl w:val="0"/>
          <w:numId w:val="9"/>
        </w:numPr>
        <w:spacing w:line="240" w:lineRule="auto"/>
        <w:rPr>
          <w:sz w:val="20"/>
          <w:szCs w:val="20"/>
        </w:rPr>
      </w:pPr>
      <w:r w:rsidRPr="006B144B">
        <w:rPr>
          <w:sz w:val="20"/>
          <w:szCs w:val="20"/>
        </w:rPr>
        <w:t>Should business principles must not be compromised</w:t>
      </w:r>
    </w:p>
    <w:p w:rsidR="007624CF" w:rsidRPr="006B144B" w:rsidRDefault="007624CF" w:rsidP="006B144B">
      <w:pPr>
        <w:pStyle w:val="ListParagraph"/>
        <w:numPr>
          <w:ilvl w:val="0"/>
          <w:numId w:val="9"/>
        </w:numPr>
        <w:spacing w:line="240" w:lineRule="auto"/>
        <w:rPr>
          <w:sz w:val="20"/>
          <w:szCs w:val="20"/>
        </w:rPr>
      </w:pPr>
      <w:r>
        <w:rPr>
          <w:sz w:val="20"/>
          <w:szCs w:val="20"/>
        </w:rPr>
        <w:t xml:space="preserve">If travel is offered, ensure you understand the costs associated before accepting. </w:t>
      </w:r>
    </w:p>
    <w:p w:rsidR="00A43DC6" w:rsidRDefault="00A43DC6" w:rsidP="006B144B">
      <w:pPr>
        <w:spacing w:after="0"/>
        <w:rPr>
          <w:b/>
          <w:sz w:val="20"/>
          <w:szCs w:val="20"/>
        </w:rPr>
      </w:pPr>
    </w:p>
    <w:p w:rsidR="00B161A2" w:rsidRPr="006B144B" w:rsidRDefault="006B144B" w:rsidP="006B144B">
      <w:pPr>
        <w:spacing w:after="0"/>
        <w:rPr>
          <w:b/>
          <w:sz w:val="20"/>
          <w:szCs w:val="20"/>
        </w:rPr>
      </w:pPr>
      <w:r w:rsidRPr="006B144B">
        <w:rPr>
          <w:b/>
          <w:sz w:val="20"/>
          <w:szCs w:val="20"/>
        </w:rPr>
        <w:t>Rejection of Gifts/Entertainment</w:t>
      </w:r>
    </w:p>
    <w:p w:rsidR="006B144B" w:rsidRPr="006B144B" w:rsidRDefault="006B144B" w:rsidP="006B144B">
      <w:pPr>
        <w:pStyle w:val="ListParagraph"/>
        <w:numPr>
          <w:ilvl w:val="0"/>
          <w:numId w:val="10"/>
        </w:numPr>
        <w:spacing w:after="0" w:line="240" w:lineRule="auto"/>
        <w:rPr>
          <w:sz w:val="20"/>
          <w:szCs w:val="20"/>
        </w:rPr>
      </w:pPr>
      <w:r w:rsidRPr="006B144B">
        <w:rPr>
          <w:sz w:val="20"/>
          <w:szCs w:val="20"/>
        </w:rPr>
        <w:t>If possible, reject the gift stating it is against corporate policy to accept</w:t>
      </w:r>
    </w:p>
    <w:p w:rsidR="006B144B" w:rsidRPr="006B144B" w:rsidRDefault="006B144B" w:rsidP="006B144B">
      <w:pPr>
        <w:pStyle w:val="ListParagraph"/>
        <w:numPr>
          <w:ilvl w:val="0"/>
          <w:numId w:val="10"/>
        </w:numPr>
        <w:spacing w:line="240" w:lineRule="auto"/>
        <w:rPr>
          <w:sz w:val="20"/>
          <w:szCs w:val="20"/>
        </w:rPr>
      </w:pPr>
      <w:r w:rsidRPr="006B144B">
        <w:rPr>
          <w:sz w:val="20"/>
          <w:szCs w:val="20"/>
        </w:rPr>
        <w:t>If this is not possible, due to cultural sensitivity, inform your management or HR and make an official record of the gift</w:t>
      </w:r>
    </w:p>
    <w:p w:rsidR="006B144B" w:rsidRPr="006B144B" w:rsidRDefault="006B144B" w:rsidP="006B144B">
      <w:pPr>
        <w:pStyle w:val="ListParagraph"/>
        <w:numPr>
          <w:ilvl w:val="0"/>
          <w:numId w:val="10"/>
        </w:numPr>
        <w:spacing w:line="240" w:lineRule="auto"/>
        <w:rPr>
          <w:sz w:val="20"/>
          <w:szCs w:val="20"/>
        </w:rPr>
      </w:pPr>
      <w:r w:rsidRPr="006B144B">
        <w:rPr>
          <w:sz w:val="20"/>
          <w:szCs w:val="20"/>
        </w:rPr>
        <w:t xml:space="preserve">Thereafter it will be considered a corporate gift. Do not donate the gift or give it away as this action may cause reputational damage. </w:t>
      </w:r>
    </w:p>
    <w:p w:rsidR="006B144B" w:rsidRDefault="006B144B" w:rsidP="006B144B">
      <w:pPr>
        <w:pStyle w:val="ListParagraph"/>
        <w:spacing w:line="240" w:lineRule="auto"/>
        <w:rPr>
          <w:sz w:val="20"/>
          <w:szCs w:val="20"/>
        </w:rPr>
      </w:pPr>
    </w:p>
    <w:p w:rsidR="006B144B" w:rsidRDefault="006B144B"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6B144B" w:rsidRDefault="006B144B" w:rsidP="006B144B">
      <w:pPr>
        <w:pStyle w:val="ListParagraph"/>
        <w:spacing w:line="240" w:lineRule="auto"/>
        <w:ind w:left="0"/>
        <w:rPr>
          <w:sz w:val="20"/>
          <w:szCs w:val="20"/>
        </w:rPr>
      </w:pPr>
      <w:r>
        <w:rPr>
          <w:sz w:val="20"/>
          <w:szCs w:val="20"/>
        </w:rPr>
        <w:t>Employee Signature:    ______________________</w:t>
      </w:r>
    </w:p>
    <w:p w:rsidR="00A43DC6" w:rsidRDefault="00A43DC6" w:rsidP="006B144B">
      <w:pPr>
        <w:pStyle w:val="ListParagraph"/>
        <w:spacing w:line="240" w:lineRule="auto"/>
        <w:ind w:left="0"/>
        <w:rPr>
          <w:sz w:val="20"/>
          <w:szCs w:val="20"/>
        </w:rPr>
      </w:pPr>
    </w:p>
    <w:p w:rsidR="006B144B" w:rsidRDefault="00A43DC6" w:rsidP="006B144B">
      <w:pPr>
        <w:pStyle w:val="ListParagraph"/>
        <w:spacing w:line="240" w:lineRule="auto"/>
        <w:ind w:left="0"/>
        <w:rPr>
          <w:sz w:val="20"/>
          <w:szCs w:val="20"/>
        </w:rPr>
      </w:pPr>
      <w:r>
        <w:rPr>
          <w:sz w:val="20"/>
          <w:szCs w:val="20"/>
        </w:rPr>
        <w:t>Date Signed: ______________________________</w:t>
      </w: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Default="00A43DC6" w:rsidP="006B144B">
      <w:pPr>
        <w:pStyle w:val="ListParagraph"/>
        <w:spacing w:line="240" w:lineRule="auto"/>
        <w:ind w:left="0"/>
        <w:rPr>
          <w:sz w:val="20"/>
          <w:szCs w:val="20"/>
        </w:rPr>
      </w:pPr>
    </w:p>
    <w:p w:rsidR="00A43DC6" w:rsidRPr="006B144B" w:rsidRDefault="00A43DC6" w:rsidP="006B144B">
      <w:pPr>
        <w:pStyle w:val="ListParagraph"/>
        <w:spacing w:line="240" w:lineRule="auto"/>
        <w:ind w:left="0"/>
        <w:rPr>
          <w:sz w:val="20"/>
          <w:szCs w:val="20"/>
        </w:rPr>
      </w:pPr>
    </w:p>
    <w:p w:rsidR="00E5028E" w:rsidRPr="000A3660" w:rsidRDefault="00E5028E" w:rsidP="00E5028E">
      <w:pPr>
        <w:spacing w:line="240" w:lineRule="auto"/>
        <w:jc w:val="center"/>
        <w:rPr>
          <w:sz w:val="20"/>
          <w:szCs w:val="20"/>
        </w:rPr>
      </w:pPr>
      <w:r w:rsidRPr="000A3660">
        <w:rPr>
          <w:noProof/>
          <w:sz w:val="20"/>
          <w:szCs w:val="20"/>
          <w:lang w:eastAsia="en-CA"/>
        </w:rPr>
        <w:drawing>
          <wp:inline distT="0" distB="0" distL="0" distR="0">
            <wp:extent cx="2274879" cy="516093"/>
            <wp:effectExtent l="19050" t="0" r="0" b="0"/>
            <wp:docPr id="4" name="Picture 1" descr="C:\Users\Caroline\AppData\Local\Microsoft\Windows\Temporary Internet Files\Content.Outlook\B6ZYASOJ\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Outlook\B6ZYASOJ\CAB_logo.jpg"/>
                    <pic:cNvPicPr>
                      <a:picLocks noChangeAspect="1" noChangeArrowheads="1"/>
                    </pic:cNvPicPr>
                  </pic:nvPicPr>
                  <pic:blipFill>
                    <a:blip r:embed="rId8" cstate="print"/>
                    <a:srcRect/>
                    <a:stretch>
                      <a:fillRect/>
                    </a:stretch>
                  </pic:blipFill>
                  <pic:spPr bwMode="auto">
                    <a:xfrm>
                      <a:off x="0" y="0"/>
                      <a:ext cx="2274879" cy="516093"/>
                    </a:xfrm>
                    <a:prstGeom prst="rect">
                      <a:avLst/>
                    </a:prstGeom>
                    <a:noFill/>
                    <a:ln w="9525">
                      <a:noFill/>
                      <a:miter lim="800000"/>
                      <a:headEnd/>
                      <a:tailEnd/>
                    </a:ln>
                  </pic:spPr>
                </pic:pic>
              </a:graphicData>
            </a:graphic>
          </wp:inline>
        </w:drawing>
      </w:r>
    </w:p>
    <w:sectPr w:rsidR="00E5028E" w:rsidRPr="000A3660" w:rsidSect="000156E5">
      <w:footerReference w:type="default" r:id="rId9"/>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94" w:rsidRDefault="004C2694" w:rsidP="00E5028E">
      <w:pPr>
        <w:spacing w:after="0" w:line="240" w:lineRule="auto"/>
      </w:pPr>
      <w:r>
        <w:separator/>
      </w:r>
    </w:p>
  </w:endnote>
  <w:endnote w:type="continuationSeparator" w:id="0">
    <w:p w:rsidR="004C2694" w:rsidRDefault="004C2694"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44B" w:rsidRPr="008E00A6" w:rsidRDefault="006B144B" w:rsidP="00E5028E">
    <w:pPr>
      <w:pStyle w:val="Footer"/>
      <w:rPr>
        <w:sz w:val="16"/>
        <w:szCs w:val="16"/>
      </w:rPr>
    </w:pPr>
    <w:bookmarkStart w:id="1" w:name="OLE_LINK2"/>
    <w:r>
      <w:rPr>
        <w:sz w:val="16"/>
        <w:szCs w:val="16"/>
      </w:rPr>
      <w:tab/>
      <w:t xml:space="preserve">                                  www.advantageprofessional.ca                (403) 475-2774</w:t>
    </w:r>
  </w:p>
  <w:bookmarkEnd w:id="1"/>
  <w:p w:rsidR="006B144B" w:rsidRDefault="006B144B" w:rsidP="00E5028E">
    <w:pPr>
      <w:pStyle w:val="Footer"/>
    </w:pPr>
  </w:p>
  <w:p w:rsidR="006B144B" w:rsidRDefault="006B1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94" w:rsidRDefault="004C2694" w:rsidP="00E5028E">
      <w:pPr>
        <w:spacing w:after="0" w:line="240" w:lineRule="auto"/>
      </w:pPr>
      <w:r>
        <w:separator/>
      </w:r>
    </w:p>
  </w:footnote>
  <w:footnote w:type="continuationSeparator" w:id="0">
    <w:p w:rsidR="004C2694" w:rsidRDefault="004C2694"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6BC3"/>
    <w:multiLevelType w:val="hybridMultilevel"/>
    <w:tmpl w:val="B36CB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930CEE"/>
    <w:multiLevelType w:val="hybridMultilevel"/>
    <w:tmpl w:val="81E4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6A51B5"/>
    <w:multiLevelType w:val="hybridMultilevel"/>
    <w:tmpl w:val="C08C4FC0"/>
    <w:lvl w:ilvl="0" w:tplc="10090001">
      <w:start w:val="1"/>
      <w:numFmt w:val="bullet"/>
      <w:lvlText w:val=""/>
      <w:lvlJc w:val="left"/>
      <w:pPr>
        <w:ind w:left="912" w:hanging="360"/>
      </w:pPr>
      <w:rPr>
        <w:rFonts w:ascii="Symbol" w:hAnsi="Symbol" w:hint="default"/>
      </w:rPr>
    </w:lvl>
    <w:lvl w:ilvl="1" w:tplc="10090003" w:tentative="1">
      <w:start w:val="1"/>
      <w:numFmt w:val="bullet"/>
      <w:lvlText w:val="o"/>
      <w:lvlJc w:val="left"/>
      <w:pPr>
        <w:ind w:left="1632" w:hanging="360"/>
      </w:pPr>
      <w:rPr>
        <w:rFonts w:ascii="Courier New" w:hAnsi="Courier New" w:cs="Courier New" w:hint="default"/>
      </w:rPr>
    </w:lvl>
    <w:lvl w:ilvl="2" w:tplc="10090005" w:tentative="1">
      <w:start w:val="1"/>
      <w:numFmt w:val="bullet"/>
      <w:lvlText w:val=""/>
      <w:lvlJc w:val="left"/>
      <w:pPr>
        <w:ind w:left="2352" w:hanging="360"/>
      </w:pPr>
      <w:rPr>
        <w:rFonts w:ascii="Wingdings" w:hAnsi="Wingdings" w:hint="default"/>
      </w:rPr>
    </w:lvl>
    <w:lvl w:ilvl="3" w:tplc="10090001" w:tentative="1">
      <w:start w:val="1"/>
      <w:numFmt w:val="bullet"/>
      <w:lvlText w:val=""/>
      <w:lvlJc w:val="left"/>
      <w:pPr>
        <w:ind w:left="3072" w:hanging="360"/>
      </w:pPr>
      <w:rPr>
        <w:rFonts w:ascii="Symbol" w:hAnsi="Symbol" w:hint="default"/>
      </w:rPr>
    </w:lvl>
    <w:lvl w:ilvl="4" w:tplc="10090003" w:tentative="1">
      <w:start w:val="1"/>
      <w:numFmt w:val="bullet"/>
      <w:lvlText w:val="o"/>
      <w:lvlJc w:val="left"/>
      <w:pPr>
        <w:ind w:left="3792" w:hanging="360"/>
      </w:pPr>
      <w:rPr>
        <w:rFonts w:ascii="Courier New" w:hAnsi="Courier New" w:cs="Courier New" w:hint="default"/>
      </w:rPr>
    </w:lvl>
    <w:lvl w:ilvl="5" w:tplc="10090005" w:tentative="1">
      <w:start w:val="1"/>
      <w:numFmt w:val="bullet"/>
      <w:lvlText w:val=""/>
      <w:lvlJc w:val="left"/>
      <w:pPr>
        <w:ind w:left="4512" w:hanging="360"/>
      </w:pPr>
      <w:rPr>
        <w:rFonts w:ascii="Wingdings" w:hAnsi="Wingdings" w:hint="default"/>
      </w:rPr>
    </w:lvl>
    <w:lvl w:ilvl="6" w:tplc="10090001" w:tentative="1">
      <w:start w:val="1"/>
      <w:numFmt w:val="bullet"/>
      <w:lvlText w:val=""/>
      <w:lvlJc w:val="left"/>
      <w:pPr>
        <w:ind w:left="5232" w:hanging="360"/>
      </w:pPr>
      <w:rPr>
        <w:rFonts w:ascii="Symbol" w:hAnsi="Symbol" w:hint="default"/>
      </w:rPr>
    </w:lvl>
    <w:lvl w:ilvl="7" w:tplc="10090003" w:tentative="1">
      <w:start w:val="1"/>
      <w:numFmt w:val="bullet"/>
      <w:lvlText w:val="o"/>
      <w:lvlJc w:val="left"/>
      <w:pPr>
        <w:ind w:left="5952" w:hanging="360"/>
      </w:pPr>
      <w:rPr>
        <w:rFonts w:ascii="Courier New" w:hAnsi="Courier New" w:cs="Courier New" w:hint="default"/>
      </w:rPr>
    </w:lvl>
    <w:lvl w:ilvl="8" w:tplc="10090005" w:tentative="1">
      <w:start w:val="1"/>
      <w:numFmt w:val="bullet"/>
      <w:lvlText w:val=""/>
      <w:lvlJc w:val="left"/>
      <w:pPr>
        <w:ind w:left="6672" w:hanging="360"/>
      </w:pPr>
      <w:rPr>
        <w:rFonts w:ascii="Wingdings" w:hAnsi="Wingdings" w:hint="default"/>
      </w:rPr>
    </w:lvl>
  </w:abstractNum>
  <w:abstractNum w:abstractNumId="5">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E0056B"/>
    <w:multiLevelType w:val="hybridMultilevel"/>
    <w:tmpl w:val="1B308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DD05CFD"/>
    <w:multiLevelType w:val="hybridMultilevel"/>
    <w:tmpl w:val="4F0E5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0A3627"/>
    <w:multiLevelType w:val="hybridMultilevel"/>
    <w:tmpl w:val="4C0A7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
  </w:num>
  <w:num w:numId="5">
    <w:abstractNumId w:val="3"/>
  </w:num>
  <w:num w:numId="6">
    <w:abstractNumId w:val="8"/>
  </w:num>
  <w:num w:numId="7">
    <w:abstractNumId w:val="4"/>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87BC5"/>
    <w:rsid w:val="000A3660"/>
    <w:rsid w:val="00135924"/>
    <w:rsid w:val="00154553"/>
    <w:rsid w:val="001A33BB"/>
    <w:rsid w:val="001D0004"/>
    <w:rsid w:val="001F2885"/>
    <w:rsid w:val="00210491"/>
    <w:rsid w:val="00217200"/>
    <w:rsid w:val="002760AA"/>
    <w:rsid w:val="00285906"/>
    <w:rsid w:val="003E7D21"/>
    <w:rsid w:val="004B0244"/>
    <w:rsid w:val="004C2694"/>
    <w:rsid w:val="004C46D5"/>
    <w:rsid w:val="00545D43"/>
    <w:rsid w:val="005A2B89"/>
    <w:rsid w:val="005C7B0E"/>
    <w:rsid w:val="0061276F"/>
    <w:rsid w:val="00654A8F"/>
    <w:rsid w:val="00657048"/>
    <w:rsid w:val="006A003E"/>
    <w:rsid w:val="006B144B"/>
    <w:rsid w:val="006B7BFC"/>
    <w:rsid w:val="007624CF"/>
    <w:rsid w:val="00796DCA"/>
    <w:rsid w:val="007F0109"/>
    <w:rsid w:val="008B6B4A"/>
    <w:rsid w:val="00941A36"/>
    <w:rsid w:val="00965FCA"/>
    <w:rsid w:val="00995D3C"/>
    <w:rsid w:val="00A43DC6"/>
    <w:rsid w:val="00B02C35"/>
    <w:rsid w:val="00B161A2"/>
    <w:rsid w:val="00B623A8"/>
    <w:rsid w:val="00B9775B"/>
    <w:rsid w:val="00BB3824"/>
    <w:rsid w:val="00BC048B"/>
    <w:rsid w:val="00BE2362"/>
    <w:rsid w:val="00C00A1D"/>
    <w:rsid w:val="00CB13EE"/>
    <w:rsid w:val="00D2216B"/>
    <w:rsid w:val="00D66D60"/>
    <w:rsid w:val="00E5028E"/>
    <w:rsid w:val="00EA7BA8"/>
    <w:rsid w:val="00EF052B"/>
    <w:rsid w:val="00F23886"/>
    <w:rsid w:val="00F61632"/>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character" w:styleId="HTMLCite">
    <w:name w:val="HTML Cite"/>
    <w:basedOn w:val="DefaultParagraphFont"/>
    <w:uiPriority w:val="99"/>
    <w:semiHidden/>
    <w:unhideWhenUsed/>
    <w:rsid w:val="000A3660"/>
    <w:rPr>
      <w:i w:val="0"/>
      <w:iCs w:val="0"/>
      <w:color w:val="006D21"/>
    </w:rPr>
  </w:style>
  <w:style w:type="character" w:styleId="Strong">
    <w:name w:val="Strong"/>
    <w:basedOn w:val="DefaultParagraphFont"/>
    <w:uiPriority w:val="22"/>
    <w:qFormat/>
    <w:rsid w:val="000A36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3</cp:revision>
  <dcterms:created xsi:type="dcterms:W3CDTF">2016-11-16T02:44:00Z</dcterms:created>
  <dcterms:modified xsi:type="dcterms:W3CDTF">2016-11-16T02:47:00Z</dcterms:modified>
</cp:coreProperties>
</file>